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41" w:rsidRDefault="00B16AD8" w:rsidP="00B16AD8">
      <w:pPr>
        <w:spacing w:before="81"/>
        <w:ind w:right="1280"/>
        <w:jc w:val="center"/>
        <w:rPr>
          <w:b/>
          <w:sz w:val="31"/>
        </w:rPr>
      </w:pPr>
      <w:bookmarkStart w:id="0" w:name="_GoBack"/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53340</wp:posOffset>
            </wp:positionV>
            <wp:extent cx="1273810" cy="779780"/>
            <wp:effectExtent l="0" t="0" r="2540" b="1270"/>
            <wp:wrapTight wrapText="bothSides">
              <wp:wrapPolygon edited="0">
                <wp:start x="0" y="0"/>
                <wp:lineTo x="0" y="21107"/>
                <wp:lineTo x="21320" y="21107"/>
                <wp:lineTo x="21320" y="0"/>
                <wp:lineTo x="0" y="0"/>
              </wp:wrapPolygon>
            </wp:wrapTight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2B41">
        <w:rPr>
          <w:b/>
          <w:sz w:val="31"/>
        </w:rPr>
        <w:t>CHARGE FOR AUI VISITING COMMITTEE</w:t>
      </w:r>
    </w:p>
    <w:p w:rsidR="00D02B41" w:rsidRDefault="00D02B41" w:rsidP="00B16AD8">
      <w:pPr>
        <w:spacing w:before="270"/>
        <w:ind w:right="1280"/>
        <w:jc w:val="center"/>
        <w:rPr>
          <w:b/>
          <w:sz w:val="31"/>
        </w:rPr>
      </w:pPr>
      <w:r>
        <w:rPr>
          <w:b/>
          <w:sz w:val="31"/>
        </w:rPr>
        <w:t>October 2019</w:t>
      </w:r>
    </w:p>
    <w:bookmarkEnd w:id="0"/>
    <w:p w:rsidR="00D02B41" w:rsidRDefault="00B16AD8" w:rsidP="00D02B41">
      <w:pPr>
        <w:pStyle w:val="BodyText"/>
        <w:spacing w:before="3"/>
        <w:ind w:left="0"/>
        <w:rPr>
          <w:rFonts w:ascii="Times New Roman"/>
          <w:sz w:val="35"/>
        </w:rPr>
      </w:pPr>
      <w:r>
        <w:rPr>
          <w:rFonts w:ascii="Times New Roman"/>
          <w:sz w:val="35"/>
        </w:rPr>
        <w:t xml:space="preserve"> </w:t>
      </w:r>
    </w:p>
    <w:p w:rsidR="00D02B41" w:rsidRDefault="00D02B41" w:rsidP="00D02B41">
      <w:pPr>
        <w:spacing w:before="1"/>
        <w:rPr>
          <w:b/>
          <w:sz w:val="24"/>
        </w:rPr>
      </w:pPr>
      <w:r>
        <w:rPr>
          <w:b/>
          <w:sz w:val="24"/>
        </w:rPr>
        <w:t>Introduction</w:t>
      </w:r>
    </w:p>
    <w:p w:rsidR="00C267A7" w:rsidRDefault="004373A9" w:rsidP="00D02B41">
      <w:pPr>
        <w:pStyle w:val="BodyText"/>
        <w:spacing w:before="100" w:line="276" w:lineRule="auto"/>
        <w:ind w:left="0" w:right="90"/>
      </w:pPr>
      <w:r>
        <w:t>As an important element of AUI’s governance model for NRAO, the Visiting Committee (VC) reviews and provides recommendations on scientific strategy, policy, and implementation; management, operations and performance; and other issues as charged. The VC report is presented to AUI for consideration of actions, and then presented to the AUI Board and the NSF by the AUI President.</w:t>
      </w:r>
    </w:p>
    <w:p w:rsidR="00C267A7" w:rsidRDefault="004902E0" w:rsidP="00D02B41">
      <w:pPr>
        <w:spacing w:before="197"/>
        <w:rPr>
          <w:b/>
          <w:sz w:val="24"/>
        </w:rPr>
      </w:pPr>
      <w:r>
        <w:rPr>
          <w:b/>
          <w:sz w:val="24"/>
        </w:rPr>
        <w:t>Specific Charges – 2019</w:t>
      </w:r>
    </w:p>
    <w:p w:rsidR="00C267A7" w:rsidRDefault="004902E0" w:rsidP="00D02B41">
      <w:pPr>
        <w:pStyle w:val="BodyText"/>
        <w:spacing w:before="249" w:line="271" w:lineRule="auto"/>
        <w:ind w:left="0" w:right="549"/>
      </w:pPr>
      <w:r>
        <w:t>For 2019</w:t>
      </w:r>
      <w:r w:rsidR="004373A9">
        <w:t xml:space="preserve">, the VC is invited to meet in </w:t>
      </w:r>
      <w:r>
        <w:t xml:space="preserve">Socorro </w:t>
      </w:r>
      <w:r w:rsidR="004373A9">
        <w:t>to review and provide feedback on the following:</w:t>
      </w:r>
    </w:p>
    <w:p w:rsidR="00C267A7" w:rsidRPr="004902E0" w:rsidRDefault="004373A9" w:rsidP="00D02B41">
      <w:pPr>
        <w:pStyle w:val="BodyText"/>
        <w:spacing w:before="207"/>
        <w:ind w:left="0"/>
        <w:rPr>
          <w:b/>
        </w:rPr>
      </w:pPr>
      <w:r w:rsidRPr="004902E0">
        <w:rPr>
          <w:b/>
        </w:rPr>
        <w:t>Strategic Planning and Goals</w:t>
      </w:r>
    </w:p>
    <w:p w:rsidR="00C267A7" w:rsidRDefault="004373A9" w:rsidP="00D02B41">
      <w:pPr>
        <w:pStyle w:val="ListParagraph"/>
        <w:numPr>
          <w:ilvl w:val="0"/>
          <w:numId w:val="1"/>
        </w:numPr>
        <w:tabs>
          <w:tab w:val="left" w:pos="540"/>
        </w:tabs>
        <w:spacing w:before="246" w:line="276" w:lineRule="auto"/>
        <w:ind w:left="540" w:right="348" w:hanging="270"/>
        <w:rPr>
          <w:sz w:val="24"/>
        </w:rPr>
      </w:pPr>
      <w:r>
        <w:rPr>
          <w:sz w:val="24"/>
        </w:rPr>
        <w:t xml:space="preserve">Please comment on NRAO’s strategic vision, with particular focus on the major initiatives such as planning for the Next-Generation VLA (ngVLA) project, the VLA Sky Survey progress, and the implementation of the Science-Ready Data Products (SRDP) concepts. Are the NRAO plans for providing input, including engaging the community, to the </w:t>
      </w:r>
      <w:r w:rsidR="004902E0">
        <w:rPr>
          <w:sz w:val="24"/>
        </w:rPr>
        <w:t>ongoing</w:t>
      </w:r>
      <w:r>
        <w:rPr>
          <w:sz w:val="24"/>
        </w:rPr>
        <w:t xml:space="preserve"> decadal study sufficient and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appropriate?</w:t>
      </w:r>
    </w:p>
    <w:p w:rsidR="00C267A7" w:rsidRPr="004902E0" w:rsidRDefault="004373A9" w:rsidP="00D02B41">
      <w:pPr>
        <w:pStyle w:val="BodyText"/>
        <w:spacing w:before="197"/>
        <w:ind w:left="0"/>
        <w:rPr>
          <w:b/>
        </w:rPr>
      </w:pPr>
      <w:r w:rsidRPr="004902E0">
        <w:rPr>
          <w:b/>
        </w:rPr>
        <w:t>Core research strength</w:t>
      </w:r>
    </w:p>
    <w:p w:rsidR="00C267A7" w:rsidRDefault="004373A9" w:rsidP="00D02B41">
      <w:pPr>
        <w:pStyle w:val="ListParagraph"/>
        <w:numPr>
          <w:ilvl w:val="0"/>
          <w:numId w:val="1"/>
        </w:numPr>
        <w:tabs>
          <w:tab w:val="left" w:pos="540"/>
        </w:tabs>
        <w:spacing w:before="246" w:line="276" w:lineRule="auto"/>
        <w:ind w:left="540" w:right="348" w:hanging="270"/>
        <w:rPr>
          <w:sz w:val="24"/>
        </w:rPr>
      </w:pPr>
      <w:r>
        <w:rPr>
          <w:sz w:val="24"/>
        </w:rPr>
        <w:t>Please comment on the current levels of usage and scientific productivity of NRAO’s instruments, facilities and support: Is NRAO competitive at the world level, in terms of scope and</w:t>
      </w:r>
      <w:r w:rsidRPr="00D02B41">
        <w:rPr>
          <w:sz w:val="24"/>
        </w:rPr>
        <w:t xml:space="preserve"> </w:t>
      </w:r>
      <w:r>
        <w:rPr>
          <w:sz w:val="24"/>
        </w:rPr>
        <w:t>quality?</w:t>
      </w:r>
    </w:p>
    <w:p w:rsidR="00C267A7" w:rsidRDefault="004373A9" w:rsidP="00D02B41">
      <w:pPr>
        <w:pStyle w:val="ListParagraph"/>
        <w:numPr>
          <w:ilvl w:val="0"/>
          <w:numId w:val="1"/>
        </w:numPr>
        <w:tabs>
          <w:tab w:val="left" w:pos="540"/>
        </w:tabs>
        <w:spacing w:before="246" w:line="276" w:lineRule="auto"/>
        <w:ind w:left="540" w:right="348" w:hanging="270"/>
        <w:rPr>
          <w:sz w:val="24"/>
        </w:rPr>
      </w:pPr>
      <w:r>
        <w:rPr>
          <w:sz w:val="24"/>
        </w:rPr>
        <w:t>Is the balance between current programs and research, and planning for future programs appropriate? Is support for NRAO’s scientific mission and staff scientific and technical research adequate, and are resources used</w:t>
      </w:r>
      <w:r w:rsidRPr="00D02B41">
        <w:rPr>
          <w:sz w:val="24"/>
        </w:rPr>
        <w:t xml:space="preserve"> </w:t>
      </w:r>
      <w:r>
        <w:rPr>
          <w:sz w:val="24"/>
        </w:rPr>
        <w:t>effectively?</w:t>
      </w:r>
    </w:p>
    <w:p w:rsidR="00C267A7" w:rsidRDefault="004373A9" w:rsidP="00D02B41">
      <w:pPr>
        <w:pStyle w:val="ListParagraph"/>
        <w:numPr>
          <w:ilvl w:val="0"/>
          <w:numId w:val="1"/>
        </w:numPr>
        <w:tabs>
          <w:tab w:val="left" w:pos="540"/>
        </w:tabs>
        <w:spacing w:before="246" w:line="276" w:lineRule="auto"/>
        <w:ind w:left="540" w:right="348" w:hanging="270"/>
        <w:rPr>
          <w:sz w:val="24"/>
        </w:rPr>
      </w:pPr>
      <w:r>
        <w:rPr>
          <w:sz w:val="24"/>
        </w:rPr>
        <w:t>Is NRAO responsive to the needs of the broader US and international astronomy communities?</w:t>
      </w:r>
    </w:p>
    <w:p w:rsidR="00C267A7" w:rsidRPr="004902E0" w:rsidRDefault="004373A9" w:rsidP="00D02B41">
      <w:pPr>
        <w:pStyle w:val="BodyText"/>
        <w:spacing w:before="207"/>
        <w:ind w:left="0"/>
        <w:rPr>
          <w:b/>
        </w:rPr>
      </w:pPr>
      <w:r w:rsidRPr="004902E0">
        <w:rPr>
          <w:b/>
        </w:rPr>
        <w:t>Operations and management</w:t>
      </w:r>
    </w:p>
    <w:p w:rsidR="00C267A7" w:rsidRDefault="004373A9" w:rsidP="00D02B41">
      <w:pPr>
        <w:pStyle w:val="ListParagraph"/>
        <w:numPr>
          <w:ilvl w:val="0"/>
          <w:numId w:val="1"/>
        </w:numPr>
        <w:tabs>
          <w:tab w:val="left" w:pos="540"/>
        </w:tabs>
        <w:spacing w:before="246" w:line="276" w:lineRule="auto"/>
        <w:ind w:left="540" w:right="348" w:hanging="270"/>
        <w:rPr>
          <w:sz w:val="24"/>
        </w:rPr>
      </w:pPr>
      <w:r>
        <w:rPr>
          <w:sz w:val="24"/>
        </w:rPr>
        <w:t xml:space="preserve">Soliciting and evaluating input from employees is an important component of continuous improvement. </w:t>
      </w:r>
      <w:r w:rsidR="004902E0">
        <w:rPr>
          <w:sz w:val="24"/>
        </w:rPr>
        <w:t xml:space="preserve">The committee is invited to consider the 2018 NRAO climate survey and seek further input from NRAO staff. </w:t>
      </w:r>
      <w:r>
        <w:rPr>
          <w:sz w:val="24"/>
        </w:rPr>
        <w:t xml:space="preserve">Are the processes and mechanisms for </w:t>
      </w:r>
      <w:r>
        <w:rPr>
          <w:sz w:val="24"/>
        </w:rPr>
        <w:lastRenderedPageBreak/>
        <w:t>raising suggestions and issues, and evaluating those items appropriate and</w:t>
      </w:r>
      <w:r w:rsidRPr="00D02B41">
        <w:rPr>
          <w:sz w:val="24"/>
        </w:rPr>
        <w:t xml:space="preserve"> </w:t>
      </w:r>
      <w:r>
        <w:rPr>
          <w:sz w:val="24"/>
        </w:rPr>
        <w:t>sufficient?</w:t>
      </w:r>
    </w:p>
    <w:p w:rsidR="00C267A7" w:rsidRDefault="004373A9" w:rsidP="00D02B41">
      <w:pPr>
        <w:pStyle w:val="ListParagraph"/>
        <w:numPr>
          <w:ilvl w:val="0"/>
          <w:numId w:val="1"/>
        </w:numPr>
        <w:tabs>
          <w:tab w:val="left" w:pos="540"/>
        </w:tabs>
        <w:spacing w:before="246" w:line="276" w:lineRule="auto"/>
        <w:ind w:left="540" w:right="348" w:hanging="270"/>
        <w:rPr>
          <w:sz w:val="24"/>
        </w:rPr>
      </w:pPr>
      <w:r>
        <w:rPr>
          <w:sz w:val="24"/>
        </w:rPr>
        <w:t>Has NRAO developed and implemented policies and best practices that attract and retain a world-class and diverse</w:t>
      </w:r>
      <w:r w:rsidRPr="00D02B41">
        <w:rPr>
          <w:sz w:val="24"/>
        </w:rPr>
        <w:t xml:space="preserve"> </w:t>
      </w:r>
      <w:r>
        <w:rPr>
          <w:sz w:val="24"/>
        </w:rPr>
        <w:t>staff?</w:t>
      </w:r>
      <w:r w:rsidR="004902E0">
        <w:rPr>
          <w:sz w:val="24"/>
        </w:rPr>
        <w:t xml:space="preserve"> Are there additional best-practice approaches to be considered?</w:t>
      </w:r>
    </w:p>
    <w:p w:rsidR="004902E0" w:rsidRDefault="004902E0" w:rsidP="00D02B41">
      <w:pPr>
        <w:tabs>
          <w:tab w:val="left" w:pos="819"/>
          <w:tab w:val="left" w:pos="820"/>
        </w:tabs>
        <w:spacing w:line="273" w:lineRule="auto"/>
        <w:ind w:right="673"/>
        <w:rPr>
          <w:sz w:val="24"/>
        </w:rPr>
      </w:pPr>
    </w:p>
    <w:p w:rsidR="004902E0" w:rsidRPr="004902E0" w:rsidRDefault="004902E0" w:rsidP="00D02B41">
      <w:pPr>
        <w:pStyle w:val="BodyText"/>
        <w:spacing w:before="197"/>
        <w:ind w:left="0"/>
        <w:rPr>
          <w:b/>
        </w:rPr>
      </w:pPr>
      <w:r w:rsidRPr="004902E0">
        <w:rPr>
          <w:b/>
        </w:rPr>
        <w:t>Diversity &amp; Inclusion</w:t>
      </w:r>
    </w:p>
    <w:p w:rsidR="00D02B41" w:rsidRDefault="00D02B41" w:rsidP="00D02B41">
      <w:pPr>
        <w:pStyle w:val="ListParagraph"/>
        <w:numPr>
          <w:ilvl w:val="0"/>
          <w:numId w:val="1"/>
        </w:numPr>
        <w:tabs>
          <w:tab w:val="left" w:pos="540"/>
        </w:tabs>
        <w:spacing w:before="246" w:line="276" w:lineRule="auto"/>
        <w:ind w:left="540" w:right="348" w:hanging="270"/>
        <w:rPr>
          <w:sz w:val="24"/>
        </w:rPr>
      </w:pPr>
      <w:r w:rsidRPr="0040463F">
        <w:rPr>
          <w:sz w:val="24"/>
        </w:rPr>
        <w:t xml:space="preserve">NRAO’s diversity program is designed to address workforce and scientific community trends, issues and concerns. </w:t>
      </w:r>
      <w:r>
        <w:rPr>
          <w:sz w:val="24"/>
        </w:rPr>
        <w:t xml:space="preserve">Please </w:t>
      </w:r>
      <w:r w:rsidRPr="00D02B41">
        <w:rPr>
          <w:sz w:val="24"/>
        </w:rPr>
        <w:t xml:space="preserve">review NRAO’s diversity </w:t>
      </w:r>
      <w:r>
        <w:rPr>
          <w:sz w:val="24"/>
        </w:rPr>
        <w:t xml:space="preserve">&amp; inclusion </w:t>
      </w:r>
      <w:r w:rsidRPr="00D02B41">
        <w:rPr>
          <w:sz w:val="24"/>
        </w:rPr>
        <w:t>program</w:t>
      </w:r>
      <w:r>
        <w:rPr>
          <w:sz w:val="24"/>
        </w:rPr>
        <w:t>s and outcomes (statistics), and provide feedback to the Observatory based on your observations and own institutional experiences. If possible, i</w:t>
      </w:r>
      <w:r w:rsidRPr="00D02B41">
        <w:rPr>
          <w:sz w:val="24"/>
        </w:rPr>
        <w:t>dentify new opportunities or activities that may be considered.</w:t>
      </w:r>
      <w:r>
        <w:rPr>
          <w:sz w:val="24"/>
        </w:rPr>
        <w:t xml:space="preserve"> </w:t>
      </w:r>
      <w:r w:rsidRPr="0040463F">
        <w:rPr>
          <w:sz w:val="24"/>
        </w:rPr>
        <w:t>Are there additional considerations related to diversity that could affect the NRAO’s core activities and performance?</w:t>
      </w:r>
    </w:p>
    <w:p w:rsidR="00D02B41" w:rsidRPr="00D02B41" w:rsidRDefault="0040463F" w:rsidP="00D02B41">
      <w:pPr>
        <w:pStyle w:val="ListParagraph"/>
        <w:numPr>
          <w:ilvl w:val="0"/>
          <w:numId w:val="1"/>
        </w:numPr>
        <w:tabs>
          <w:tab w:val="left" w:pos="540"/>
        </w:tabs>
        <w:spacing w:before="246" w:line="276" w:lineRule="auto"/>
        <w:ind w:left="540" w:right="348" w:hanging="270"/>
        <w:rPr>
          <w:sz w:val="24"/>
        </w:rPr>
      </w:pPr>
      <w:r w:rsidRPr="0040463F">
        <w:rPr>
          <w:sz w:val="24"/>
        </w:rPr>
        <w:t xml:space="preserve">Over the past few years, NRAO has made a number of changes to its hiring and retention methods, including recruitment strategies designed to continue to make progress toward our diversity goals. What additional strategies might NRAO employ to meet </w:t>
      </w:r>
      <w:r w:rsidR="00D02B41">
        <w:rPr>
          <w:sz w:val="24"/>
        </w:rPr>
        <w:t>its</w:t>
      </w:r>
      <w:r w:rsidRPr="0040463F">
        <w:rPr>
          <w:sz w:val="24"/>
        </w:rPr>
        <w:t xml:space="preserve"> diversity goals?</w:t>
      </w:r>
    </w:p>
    <w:p w:rsidR="0040463F" w:rsidRPr="00D02B41" w:rsidRDefault="0040463F" w:rsidP="00D02B41">
      <w:pPr>
        <w:tabs>
          <w:tab w:val="left" w:pos="819"/>
          <w:tab w:val="left" w:pos="820"/>
        </w:tabs>
        <w:spacing w:line="273" w:lineRule="auto"/>
        <w:ind w:right="312"/>
        <w:rPr>
          <w:sz w:val="24"/>
        </w:rPr>
      </w:pPr>
    </w:p>
    <w:p w:rsidR="004902E0" w:rsidRPr="004902E0" w:rsidRDefault="004902E0" w:rsidP="00D02B41">
      <w:pPr>
        <w:tabs>
          <w:tab w:val="left" w:pos="819"/>
          <w:tab w:val="left" w:pos="820"/>
        </w:tabs>
        <w:spacing w:line="273" w:lineRule="auto"/>
        <w:ind w:right="673"/>
        <w:rPr>
          <w:sz w:val="24"/>
        </w:rPr>
      </w:pPr>
    </w:p>
    <w:p w:rsidR="00C267A7" w:rsidRDefault="00C267A7" w:rsidP="00D02B41">
      <w:pPr>
        <w:pStyle w:val="BodyText"/>
        <w:ind w:left="0"/>
        <w:rPr>
          <w:sz w:val="28"/>
        </w:rPr>
      </w:pPr>
    </w:p>
    <w:p w:rsidR="00C267A7" w:rsidRDefault="00C267A7" w:rsidP="00D02B41">
      <w:pPr>
        <w:pStyle w:val="BodyText"/>
        <w:spacing w:before="7"/>
        <w:ind w:left="0"/>
        <w:rPr>
          <w:sz w:val="32"/>
        </w:rPr>
      </w:pPr>
    </w:p>
    <w:sectPr w:rsidR="00C267A7" w:rsidSect="00D02B41">
      <w:footerReference w:type="default" r:id="rId8"/>
      <w:pgSz w:w="12240" w:h="15840"/>
      <w:pgMar w:top="1380" w:right="1340" w:bottom="1170" w:left="1340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39E" w:rsidRDefault="0027239E">
      <w:r>
        <w:separator/>
      </w:r>
    </w:p>
  </w:endnote>
  <w:endnote w:type="continuationSeparator" w:id="0">
    <w:p w:rsidR="0027239E" w:rsidRDefault="0027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7A7" w:rsidRDefault="004902E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8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9427210</wp:posOffset>
              </wp:positionV>
              <wp:extent cx="1489710" cy="1930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971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7A7" w:rsidRDefault="00C267A7">
                          <w:pPr>
                            <w:spacing w:before="25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42.3pt;width:117.3pt;height:15.2pt;z-index:-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oorgIAAKk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" filled="f" stroked="f">
              <v:textbox inset="0,0,0,0">
                <w:txbxContent>
                  <w:p w:rsidR="00C267A7" w:rsidRDefault="00C267A7">
                    <w:pPr>
                      <w:spacing w:before="25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824" behindDoc="1" locked="0" layoutInCell="1" allowOverlap="1">
              <wp:simplePos x="0" y="0"/>
              <wp:positionH relativeFrom="page">
                <wp:posOffset>6762750</wp:posOffset>
              </wp:positionH>
              <wp:positionV relativeFrom="page">
                <wp:posOffset>9427210</wp:posOffset>
              </wp:positionV>
              <wp:extent cx="120650" cy="19304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7A7" w:rsidRDefault="004373A9">
                          <w:pPr>
                            <w:spacing w:before="25"/>
                            <w:ind w:left="4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6AD8">
                            <w:rPr>
                              <w:noProof/>
                              <w:w w:val="102"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32.5pt;margin-top:742.3pt;width:9.5pt;height:15.2pt;z-index:-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" filled="f" stroked="f">
              <v:textbox inset="0,0,0,0">
                <w:txbxContent>
                  <w:p w:rsidR="00C267A7" w:rsidRDefault="004373A9">
                    <w:pPr>
                      <w:spacing w:before="25"/>
                      <w:ind w:left="4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w w:val="102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6AD8">
                      <w:rPr>
                        <w:noProof/>
                        <w:w w:val="102"/>
                        <w:sz w:val="2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39E" w:rsidRDefault="0027239E">
      <w:r>
        <w:separator/>
      </w:r>
    </w:p>
  </w:footnote>
  <w:footnote w:type="continuationSeparator" w:id="0">
    <w:p w:rsidR="0027239E" w:rsidRDefault="0027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291"/>
    <w:multiLevelType w:val="hybridMultilevel"/>
    <w:tmpl w:val="D8EEDC38"/>
    <w:lvl w:ilvl="0" w:tplc="C9D8EFC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5C2216C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70700B2C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05B65C22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EB6ACAF2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338004C0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AD2026E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73D6541A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DE063978"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A7"/>
    <w:rsid w:val="00186F7B"/>
    <w:rsid w:val="0027239E"/>
    <w:rsid w:val="0040463F"/>
    <w:rsid w:val="004373A9"/>
    <w:rsid w:val="004902E0"/>
    <w:rsid w:val="00B16AD8"/>
    <w:rsid w:val="00C267A7"/>
    <w:rsid w:val="00D02B41"/>
    <w:rsid w:val="00D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F2B31"/>
  <w15:docId w15:val="{201E970F-EC5A-4A23-95D8-B3C8DC6B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1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3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67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F3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67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NRAO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Beasley</dc:creator>
  <cp:lastModifiedBy>Tony Beasley</cp:lastModifiedBy>
  <cp:revision>4</cp:revision>
  <dcterms:created xsi:type="dcterms:W3CDTF">2019-09-03T20:23:00Z</dcterms:created>
  <dcterms:modified xsi:type="dcterms:W3CDTF">2019-09-03T21:04:00Z</dcterms:modified>
</cp:coreProperties>
</file>